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находящегося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Ибраева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Омара </w:t>
      </w:r>
      <w:r>
        <w:rPr>
          <w:rFonts w:ascii="Times New Roman" w:eastAsia="Times New Roman" w:hAnsi="Times New Roman" w:cs="Times New Roman"/>
          <w:sz w:val="27"/>
          <w:szCs w:val="27"/>
        </w:rPr>
        <w:t>Тайболовича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предусмотренном ч. 4 ст. 12.15 КоАП РФ,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Style w:val="cat-Timegrp-20rplc-14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Ибраев О.Т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управляя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т/с </w:t>
      </w:r>
      <w:r>
        <w:rPr>
          <w:rFonts w:ascii="Times New Roman" w:eastAsia="Times New Roman" w:hAnsi="Times New Roman" w:cs="Times New Roman"/>
          <w:sz w:val="27"/>
          <w:szCs w:val="27"/>
        </w:rPr>
        <w:t>HINO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1rplc-18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выехал на полосу дороги предназначенную для движения встречного т/с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соблюдением ПДД, при этом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завершил маневр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3.20 «Обгон запрещен»,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 п. 1.3 ПДД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Ибраев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в совершении инкриминируемого правонарушения признал, не отрицал изложенные в протоколе об административном правонарушении обстоятельства, ходатайств не заявлял.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Ибраева О.Т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правонарушения, предусмотренного ч.4 ст. 12.15 КоАП РФ, подтверждается: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ХМ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717089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схемой места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от </w:t>
      </w:r>
      <w:r>
        <w:rPr>
          <w:rFonts w:ascii="Times New Roman" w:eastAsia="Times New Roman" w:hAnsi="Times New Roman" w:cs="Times New Roman"/>
          <w:sz w:val="27"/>
          <w:szCs w:val="27"/>
        </w:rPr>
        <w:t>16.01.2026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к протокола 86 ХМ </w:t>
      </w:r>
      <w:r>
        <w:rPr>
          <w:rFonts w:ascii="Times New Roman" w:eastAsia="Times New Roman" w:hAnsi="Times New Roman" w:cs="Times New Roman"/>
          <w:sz w:val="27"/>
          <w:szCs w:val="27"/>
        </w:rPr>
        <w:t>717089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ИДПС взвода 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роты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ДПС ГИБДД УМВД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16.01.2026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проектом организации дорожного движения на автомобильной дороге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общего пользования федерального значения </w:t>
      </w:r>
      <w:r>
        <w:rPr>
          <w:rStyle w:val="cat-UserDefinedgrp-28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 реестром правонарушений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CD</w:t>
      </w:r>
      <w:r>
        <w:rPr>
          <w:rFonts w:ascii="Times New Roman" w:eastAsia="Times New Roman" w:hAnsi="Times New Roman" w:cs="Times New Roman"/>
          <w:sz w:val="27"/>
          <w:szCs w:val="27"/>
        </w:rPr>
        <w:t>-диском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 4 ст. 12.15 КоАП РФ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ст.12.15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1.3 Правил дорожного движения РФ, утверждённых постановлением Правительства РФ от 23.10.1993 г. № 1090, участники дорожного движения обязаны знать и соблюдать относящиеся к ним требования Правил, сигналов светофоров, знаков и разметок.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1.2 названных Правил предусмотрено, что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Запрещающий знак 3.20 «Обгон запрещен» обозначает начало участка дороги, на протяжении которого запрещается обгон всех транспортных средств. В соответствии с пунктом 5.4.21 ГОСТ Р 52289-2004 знак 3.20 устанавливается на участках дорог с </w:t>
      </w:r>
      <w:r>
        <w:rPr>
          <w:rFonts w:ascii="Times New Roman" w:eastAsia="Times New Roman" w:hAnsi="Times New Roman" w:cs="Times New Roman"/>
          <w:sz w:val="27"/>
          <w:szCs w:val="27"/>
        </w:rPr>
        <w:t>необеспеченной видимостью движения встречного автомобиля, зона действия знака в этом случае определяется протяженностью опасного участка.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правовой позиции Конституционного Суда Российской Федерации, изложенной им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18</w:t>
      </w:r>
      <w:r>
        <w:rPr>
          <w:rFonts w:ascii="Times New Roman" w:eastAsia="Times New Roman" w:hAnsi="Times New Roman" w:cs="Times New Roman"/>
          <w:sz w:val="27"/>
          <w:szCs w:val="27"/>
        </w:rPr>
        <w:t>.01.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2011 г. N 6-О-О (а также,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.12.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4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во взаимосвязи с его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статьями 2.1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подлежат лица, совершившие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соответствующее деяние как </w:t>
      </w:r>
      <w:r>
        <w:rPr>
          <w:rFonts w:ascii="Times New Roman" w:eastAsia="Times New Roman" w:hAnsi="Times New Roman" w:cs="Times New Roman"/>
          <w:sz w:val="27"/>
          <w:szCs w:val="27"/>
        </w:rPr>
        <w:t>умышленно, так и по неосторожности.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hyperlink r:id="rId10" w:anchor="/document/72280274/entry/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Пленума Верховного Суда Российской Федерации от 25.06.2019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10" w:anchor="/document/1305770/entry/1000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 1.2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ПДД РФ), которые квалифицируются по </w:t>
      </w:r>
      <w:hyperlink r:id="rId10" w:anchor="/document/12125267/entry/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статьи), подлежат квалификации по </w:t>
      </w:r>
      <w:hyperlink r:id="rId10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 4 статьи 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этом действия лица, </w:t>
      </w:r>
      <w:r>
        <w:rPr>
          <w:rFonts w:ascii="Times New Roman" w:eastAsia="Times New Roman" w:hAnsi="Times New Roman" w:cs="Times New Roman"/>
          <w:sz w:val="27"/>
          <w:szCs w:val="27"/>
        </w:rPr>
        <w:t>выехавшего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полосу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предназначенную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</w:t>
      </w:r>
      <w:r>
        <w:rPr>
          <w:rFonts w:ascii="Times New Roman" w:eastAsia="Times New Roman" w:hAnsi="Times New Roman" w:cs="Times New Roman"/>
          <w:sz w:val="27"/>
          <w:szCs w:val="27"/>
        </w:rPr>
        <w:t>встречного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</w:t>
      </w:r>
      <w:r>
        <w:rPr>
          <w:rFonts w:ascii="Times New Roman" w:eastAsia="Times New Roman" w:hAnsi="Times New Roman" w:cs="Times New Roman"/>
          <w:sz w:val="27"/>
          <w:szCs w:val="27"/>
        </w:rPr>
        <w:t>соблюдением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требований </w:t>
      </w:r>
      <w:hyperlink r:id="rId10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движения, </w:t>
      </w:r>
      <w:r>
        <w:rPr>
          <w:rFonts w:ascii="Times New Roman" w:eastAsia="Times New Roman" w:hAnsi="Times New Roman" w:cs="Times New Roman"/>
          <w:sz w:val="27"/>
          <w:szCs w:val="27"/>
        </w:rPr>
        <w:t>однако,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завершившего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данный </w:t>
      </w:r>
      <w:r>
        <w:rPr>
          <w:rFonts w:ascii="Times New Roman" w:eastAsia="Times New Roman" w:hAnsi="Times New Roman" w:cs="Times New Roman"/>
          <w:sz w:val="27"/>
          <w:szCs w:val="27"/>
        </w:rPr>
        <w:t>маневр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указанных требований, также подлежат </w:t>
      </w:r>
      <w:r>
        <w:rPr>
          <w:rFonts w:ascii="Times New Roman" w:eastAsia="Times New Roman" w:hAnsi="Times New Roman" w:cs="Times New Roman"/>
          <w:sz w:val="27"/>
          <w:szCs w:val="27"/>
        </w:rPr>
        <w:t>квалификации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hyperlink r:id="rId10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</w:t>
      </w:r>
      <w:r>
        <w:rPr>
          <w:rFonts w:ascii="Times New Roman" w:eastAsia="Times New Roman" w:hAnsi="Times New Roman" w:cs="Times New Roman"/>
          <w:sz w:val="27"/>
          <w:szCs w:val="27"/>
        </w:rPr>
        <w:t>с соблюдением требований КоАП РФ и нашедшими своё объективное подтверждение в ходе судебного разбирательства.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Ибраева О.Т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установлена, а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 правильно квалифицированными по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12.15 КоАП РФ – как выезд в нарушение Правил дорожного движения на сторону дороги, предназначенную для встречного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возможность рассмотрения дела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не имеется.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Ибраевым О.Т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вины, раскаяние в содеянном.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полагает возможным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Ибраеву О.Т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Ибраева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Омара </w:t>
      </w:r>
      <w:r>
        <w:rPr>
          <w:rFonts w:ascii="Times New Roman" w:eastAsia="Times New Roman" w:hAnsi="Times New Roman" w:cs="Times New Roman"/>
          <w:sz w:val="27"/>
          <w:szCs w:val="27"/>
        </w:rPr>
        <w:t>Тайболовича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 4 ст. 12.15 КоАП РФ и подвергнуть наказанию в виде административного штрафа в размере </w:t>
      </w:r>
      <w:r>
        <w:rPr>
          <w:rStyle w:val="cat-Sumgrp-18rplc-3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1" w:anchor="/document/12125267/entry/322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1.1, 1.3 -1.3-3 и 1.4 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1" w:anchor="/document/12125267/entry/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путем подачи жалобы через мирового судью судебного участка №1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headerReference w:type="default" r:id="rId12"/>
      <w:footerReference w:type="default" r:id="rId13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14135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Timegrp-20rplc-14">
    <w:name w:val="cat-Time grp-20 rplc-14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CarNumbergrp-21rplc-18">
    <w:name w:val="cat-CarNumber grp-21 rplc-18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Sumgrp-18rplc-36">
    <w:name w:val="cat-Sum grp-18 rplc-3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hyperlink" Target="https://msud.garant.ru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consultantplus://offline/ref=B7A1769E56CBD9E6CA28B3203F467A6C1D227F27A2C9A1216CF4432A4AF2W5O" TargetMode="External" /><Relationship Id="rId6" Type="http://schemas.openxmlformats.org/officeDocument/2006/relationships/hyperlink" Target="consultantplus://offline/ref=B7A1769E56CBD9E6CA28B3203F467A6C1D23762AAFCFA1216CF4432A4AF2W5O" TargetMode="External" /><Relationship Id="rId7" Type="http://schemas.openxmlformats.org/officeDocument/2006/relationships/hyperlink" Target="consultantplus://offline/ref=B7A1769E56CBD9E6CA28B3203F467A6C1D247E21ABCAA1216CF4432A4A25FA9B5F3F63F4B487F0W6O" TargetMode="External" /><Relationship Id="rId8" Type="http://schemas.openxmlformats.org/officeDocument/2006/relationships/hyperlink" Target="consultantplus://offline/ref=B7A1769E56CBD9E6CA28B3203F467A6C1D247E21ABCAA1216CF4432A4A25FA9B5F3F63F7B68203CAF3W9O" TargetMode="External" /><Relationship Id="rId9" Type="http://schemas.openxmlformats.org/officeDocument/2006/relationships/hyperlink" Target="consultantplus://offline/ref=B7A1769E56CBD9E6CA28B3203F467A6C1D247E21ABCAA1216CF4432A4A25FA9B5F3F63F7B68203CAF3WDO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1AFE-BE71-4021-B2F0-B82A00A3D83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